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南京医科大学2022年度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党员处级领导干部民主生活会监督细评表</w:t>
      </w:r>
    </w:p>
    <w:p>
      <w:pPr>
        <w:jc w:val="left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>党组织名称：</w:t>
      </w:r>
    </w:p>
    <w:p>
      <w:pPr>
        <w:jc w:val="left"/>
        <w:rPr>
          <w:rFonts w:ascii="楷体" w:hAnsi="楷体" w:eastAsia="楷体" w:cs="楷体"/>
          <w:b/>
          <w:bCs/>
          <w:szCs w:val="32"/>
        </w:rPr>
      </w:pPr>
      <w:r>
        <w:rPr>
          <w:rFonts w:hint="eastAsia" w:ascii="楷体" w:hAnsi="楷体" w:eastAsia="楷体" w:cs="楷体"/>
          <w:b/>
          <w:bCs/>
          <w:szCs w:val="32"/>
        </w:rPr>
        <w:t xml:space="preserve">督查人员：          时间：          地点： </w:t>
      </w:r>
    </w:p>
    <w:tbl>
      <w:tblPr>
        <w:tblStyle w:val="2"/>
        <w:tblW w:w="8886" w:type="dxa"/>
        <w:tblInd w:w="-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321"/>
        <w:gridCol w:w="3416"/>
        <w:gridCol w:w="508"/>
        <w:gridCol w:w="493"/>
        <w:gridCol w:w="508"/>
        <w:gridCol w:w="624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4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督查重点</w:t>
            </w:r>
          </w:p>
        </w:tc>
        <w:tc>
          <w:tcPr>
            <w:tcW w:w="34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督查内容</w:t>
            </w:r>
          </w:p>
        </w:tc>
        <w:tc>
          <w:tcPr>
            <w:tcW w:w="2133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督查情况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优秀</w:t>
            </w:r>
          </w:p>
        </w:tc>
        <w:tc>
          <w:tcPr>
            <w:tcW w:w="4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良好</w:t>
            </w:r>
          </w:p>
        </w:tc>
        <w:tc>
          <w:tcPr>
            <w:tcW w:w="5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6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不合格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专题民主生活会</w:t>
            </w:r>
          </w:p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开展情况</w:t>
            </w:r>
          </w:p>
        </w:tc>
        <w:tc>
          <w:tcPr>
            <w:tcW w:w="34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制定方案、组织实施情况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学习内容紧扣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习近平新时代中国特色社会主义思想和党的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lang w:val="en-US" w:eastAsia="zh-CN" w:bidi="ar"/>
              </w:rPr>
              <w:t>二十大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精神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会议现场是否庄重严肃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会议流程是否合规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对照重点深入查摆剖析问题情况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  <w:t>开展批评和自我批评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二级党组织</w:t>
            </w:r>
            <w:r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  <w:t>领导班子对照检查材料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和</w:t>
            </w:r>
            <w:r>
              <w:rPr>
                <w:rFonts w:ascii="仿宋" w:hAnsi="仿宋" w:cs="仿宋"/>
                <w:color w:val="000000"/>
                <w:kern w:val="0"/>
                <w:sz w:val="24"/>
                <w:lang w:bidi="ar"/>
              </w:rPr>
              <w:t>处级领导干部个人发言提纲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lang w:bidi="ar"/>
              </w:rPr>
              <w:t>撰写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党员处级领导干部是否全体出席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46" w:type="dxa"/>
            <w:vMerge w:val="continue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</w:p>
        </w:tc>
        <w:tc>
          <w:tcPr>
            <w:tcW w:w="3416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</w:rPr>
              <w:t>迟到早退及履行请假手续情况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546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发现问题</w:t>
            </w:r>
          </w:p>
        </w:tc>
        <w:tc>
          <w:tcPr>
            <w:tcW w:w="341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1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2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4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5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spacing w:line="30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eastAsia="仿宋"/>
          <w:sz w:val="24"/>
          <w:szCs w:val="24"/>
        </w:rPr>
        <w:t>注：请于</w:t>
      </w:r>
      <w:r>
        <w:rPr>
          <w:rFonts w:hint="eastAsia" w:eastAsia="仿宋"/>
          <w:sz w:val="24"/>
          <w:szCs w:val="24"/>
        </w:rPr>
        <w:t>民主生活会召开</w:t>
      </w:r>
      <w:r>
        <w:rPr>
          <w:rFonts w:hint="eastAsia"/>
          <w:sz w:val="24"/>
          <w:szCs w:val="24"/>
          <w:lang w:val="en-US" w:eastAsia="zh-CN"/>
        </w:rPr>
        <w:t>后</w:t>
      </w:r>
      <w:r>
        <w:rPr>
          <w:rFonts w:hint="eastAsia" w:eastAsia="仿宋"/>
          <w:sz w:val="24"/>
          <w:szCs w:val="24"/>
        </w:rPr>
        <w:t>3个工作日</w:t>
      </w:r>
      <w:r>
        <w:rPr>
          <w:rFonts w:eastAsia="仿宋"/>
          <w:sz w:val="24"/>
          <w:szCs w:val="24"/>
        </w:rPr>
        <w:t>，将此表通过电子邮件报送</w:t>
      </w:r>
      <w:r>
        <w:rPr>
          <w:rFonts w:hint="eastAsia" w:eastAsia="仿宋"/>
          <w:sz w:val="24"/>
          <w:szCs w:val="24"/>
        </w:rPr>
        <w:t>校</w:t>
      </w:r>
      <w:r>
        <w:rPr>
          <w:rFonts w:hint="eastAsia"/>
          <w:sz w:val="24"/>
          <w:szCs w:val="24"/>
          <w:lang w:val="en-US" w:eastAsia="zh-CN"/>
        </w:rPr>
        <w:t>纪委</w:t>
      </w:r>
      <w:r>
        <w:rPr>
          <w:rFonts w:hint="eastAsia" w:eastAsia="仿宋"/>
          <w:sz w:val="24"/>
          <w:szCs w:val="24"/>
        </w:rPr>
        <w:t>监督检查处（</w:t>
      </w:r>
      <w:r>
        <w:rPr>
          <w:rFonts w:eastAsia="仿宋"/>
          <w:sz w:val="24"/>
          <w:szCs w:val="24"/>
        </w:rPr>
        <w:t>j</w:t>
      </w:r>
      <w:r>
        <w:rPr>
          <w:rFonts w:hint="eastAsia"/>
          <w:sz w:val="24"/>
          <w:szCs w:val="24"/>
          <w:lang w:val="en-US" w:eastAsia="zh-CN"/>
        </w:rPr>
        <w:t>d</w:t>
      </w:r>
      <w:r>
        <w:rPr>
          <w:rFonts w:eastAsia="仿宋"/>
          <w:sz w:val="24"/>
          <w:szCs w:val="24"/>
        </w:rPr>
        <w:t>jc@njmu.edu.cn</w:t>
      </w:r>
      <w:r>
        <w:rPr>
          <w:rFonts w:hint="eastAsia" w:eastAsia="仿宋"/>
          <w:sz w:val="24"/>
          <w:szCs w:val="24"/>
        </w:rPr>
        <w:t>，8</w:t>
      </w:r>
      <w:r>
        <w:rPr>
          <w:rFonts w:eastAsia="仿宋"/>
          <w:sz w:val="24"/>
          <w:szCs w:val="24"/>
        </w:rPr>
        <w:t>686905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 w:eastAsia="仿宋"/>
          <w:sz w:val="24"/>
          <w:szCs w:val="24"/>
        </w:rPr>
        <w:t>）</w:t>
      </w:r>
      <w:r>
        <w:rPr>
          <w:rFonts w:eastAsia="仿宋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ZjQ3NGNjNDYwNDUyZjljZjZjYzc1NWJkZDNmZDUifQ=="/>
  </w:docVars>
  <w:rsids>
    <w:rsidRoot w:val="00FE6F6A"/>
    <w:rsid w:val="00694D4F"/>
    <w:rsid w:val="00FE6F6A"/>
    <w:rsid w:val="0C5B0590"/>
    <w:rsid w:val="185C7C4C"/>
    <w:rsid w:val="19A479B1"/>
    <w:rsid w:val="3A9D039A"/>
    <w:rsid w:val="3E807610"/>
    <w:rsid w:val="7AF07ECA"/>
    <w:rsid w:val="7C365C71"/>
    <w:rsid w:val="7F9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296</Words>
  <Characters>342</Characters>
  <Lines>2</Lines>
  <Paragraphs>1</Paragraphs>
  <TotalTime>2</TotalTime>
  <ScaleCrop>false</ScaleCrop>
  <LinksUpToDate>false</LinksUpToDate>
  <CharactersWithSpaces>389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2020-11-10T07:02:00Z</dcterms:created>
  <dc:creator>Administrator</dc:creator>
  <cp:lastModifiedBy>小宝</cp:lastModifiedBy>
  <dcterms:modified xsi:type="dcterms:W3CDTF">2022-12-29T10:56:29Z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E223329E12E949DF80F7ABF09F622A37</vt:lpwstr>
  </property>
</Properties>
</file>